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Решение Приморского УФАС России от 19.10.2023 по делу N 025/10/18.1-1500/2023</w:t>
      </w:r>
    </w:p>
    <w:p>
      <w:pPr>
        <w:pStyle w:val="0"/>
        <w:jc w:val="both"/>
      </w:pPr>
      <w:r>
        <w:rPr>
          <w:sz w:val="20"/>
        </w:rPr>
        <w:t xml:space="preserve">Обстоятельства: По мнению Заявителя, документация составлена с нарушением требований действующего законодательства в части указания характеристик, не включенных в КТРУ.</w:t>
      </w:r>
    </w:p>
    <w:p>
      <w:pPr>
        <w:pStyle w:val="0"/>
        <w:jc w:val="both"/>
      </w:pPr>
      <w:r>
        <w:rPr>
          <w:sz w:val="20"/>
        </w:rPr>
        <w:t xml:space="preserve">Решение: Признать жалобу необоснованной.</w:t>
      </w:r>
    </w:p>
    <w:p>
      <w:pPr>
        <w:pStyle w:val="0"/>
        <w:spacing w:before="200" w:line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ind w:firstLine="54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УПРАВЛЕНИЕ ФЕДЕРАЛЬНОЙ АНТИМОНОПОЛЬНОЙ СЛУЖБЫ</w:t>
      </w:r>
    </w:p>
    <w:p>
      <w:pPr>
        <w:pStyle w:val="2"/>
        <w:jc w:val="center"/>
      </w:pPr>
      <w:r>
        <w:rPr>
          <w:sz w:val="20"/>
        </w:rPr>
        <w:t xml:space="preserve">ПО ПРИМОРСКОМУ КРАЮ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РЕШЕНИЕ</w:t>
      </w:r>
    </w:p>
    <w:p>
      <w:pPr>
        <w:pStyle w:val="2"/>
        <w:jc w:val="center"/>
      </w:pPr>
      <w:r>
        <w:rPr>
          <w:sz w:val="20"/>
        </w:rPr>
        <w:t xml:space="preserve">от 19 октября 2023 г. по делу N 025/10/18.1-1500/2023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Комиссия Управления Федеральной антимонопольной службы по Приморскому краю (далее - Приморское УФАС России) по рассмотрению жалоб на нарушение процедуры проведения торгов и порядка заключения договоров (далее - Комиссия), в соответствии со </w:t>
      </w:r>
      <w:r>
        <w:rPr>
          <w:sz w:val="20"/>
        </w:rPr>
        <w:t xml:space="preserve">статьей 18.1</w:t>
      </w:r>
      <w:r>
        <w:rPr>
          <w:sz w:val="20"/>
        </w:rPr>
        <w:t xml:space="preserve"> Федерального закона от 26.07.2006 N 135-ФЗ "О защите конкуренции" (далее - Закон о защите конкуренции),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установила: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Приморское УФАС России поступила жалоба от ООО "Биэм Групп Интегратор" на действия Заказчика - ГАУДПО "Приморский краевой институт развития образования" при запроса котировок в электронной форме на поставку мобильных интерактивных сенсорных экранов (извещение N 0320200006123000213).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 мнению Заявителя, документация составлена с нарушением требований действующего законодательства в части указания характеристик, не включенных в КТРУ.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Представитель Заказчика с доводами, изложенными в жалобе не согласился, представил письменные возражения.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Оценив доводы, изложенные Заказчиком, рассмотрев материалы дела, Комиссия пришла к следующим выводам.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ГАУДПО "Приморский краевой институт развития образования" является Заказчиком, который осуществляет закупки в соответствии с Федеральным </w:t>
      </w:r>
      <w:r>
        <w:rPr>
          <w:sz w:val="20"/>
        </w:rPr>
        <w:t xml:space="preserve">законом</w:t>
      </w:r>
      <w:r>
        <w:rPr>
          <w:sz w:val="20"/>
        </w:rPr>
        <w:t xml:space="preserve"> от 05.04.2013 г. N 44-ФЗ "О контрактной системе в сфере закупок товаров, работ, услуг для обеспечения государственных и муниципальных нужд" (далее - Закон N 44-ФЗ), в связи с неразмещением положения о закупке в соответствии с положениями Федеральным </w:t>
      </w:r>
      <w:r>
        <w:rPr>
          <w:sz w:val="20"/>
        </w:rPr>
        <w:t xml:space="preserve">законом</w:t>
      </w:r>
      <w:r>
        <w:rPr>
          <w:sz w:val="20"/>
        </w:rPr>
        <w:t xml:space="preserve"> от 18.07.2011 N 223-ФЗ "О закупках товаров, работ, услуг отдельным видами юридическими лицами" (далее - Закон о закупках).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частью 8.1 статьи 3</w:t>
      </w:r>
      <w:r>
        <w:rPr>
          <w:sz w:val="20"/>
        </w:rPr>
        <w:t xml:space="preserve"> Закона о закупках в случае невыполнения заказчиком обязанности осуществить закупки у субъектов малого и среднего предпринимательства в течение календарного года в объеме, установленном Правительством Российской Федерации в соответствии с </w:t>
      </w:r>
      <w:r>
        <w:rPr>
          <w:sz w:val="20"/>
        </w:rPr>
        <w:t xml:space="preserve">пунктом 2 части 8 настоящей статьи</w:t>
      </w:r>
      <w:r>
        <w:rPr>
          <w:sz w:val="20"/>
        </w:rPr>
        <w:t xml:space="preserve">, либо размещения недостоверной информации о годовом объеме закупок у таких субъектов, включенной в отчет, предусмотренный </w:t>
      </w:r>
      <w:r>
        <w:rPr>
          <w:sz w:val="20"/>
        </w:rPr>
        <w:t xml:space="preserve">частью 21 статьи 4</w:t>
      </w:r>
      <w:r>
        <w:rPr>
          <w:sz w:val="20"/>
        </w:rPr>
        <w:t xml:space="preserve"> настоящего Федерального закона, либо неразмещения указанного отчета в единой информационной системе положение о закупке данного заказчика с 1 февраля года, следующего за прошедшим календарным годом, и до завершения этого года признается неразмещенным в соответствии с требованиями настоящего Федерального </w:t>
      </w:r>
      <w:r>
        <w:rPr>
          <w:sz w:val="20"/>
        </w:rPr>
        <w:t xml:space="preserve">закона</w:t>
      </w:r>
      <w:r>
        <w:rPr>
          <w:sz w:val="20"/>
        </w:rPr>
        <w:t xml:space="preserve">. В данном случае в течение указанного периода заказчики руководствуются положениями Федерального </w:t>
      </w:r>
      <w:r>
        <w:rPr>
          <w:sz w:val="20"/>
        </w:rPr>
        <w:t xml:space="preserve">закона</w:t>
      </w:r>
      <w:r>
        <w:rPr>
          <w:sz w:val="20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в части: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1) обоснования начальной (максимальной) цены контракта, цены контракта, заключаемого с единственным поставщиком (исполнителем, подрядчиком);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2) выбора способа определения поставщика (исполнителя, подрядчика);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3) осуществления закупок у субъектов малого предпринимательства, социально ориентированных некоммерческих организаций в соответствии с </w:t>
      </w:r>
      <w:r>
        <w:rPr>
          <w:sz w:val="20"/>
        </w:rPr>
        <w:t xml:space="preserve">частями 1</w:t>
      </w:r>
      <w:r>
        <w:rPr>
          <w:sz w:val="20"/>
        </w:rPr>
        <w:t xml:space="preserve"> - </w:t>
      </w:r>
      <w:r>
        <w:rPr>
          <w:sz w:val="20"/>
        </w:rPr>
        <w:t xml:space="preserve">3</w:t>
      </w:r>
      <w:r>
        <w:rPr>
          <w:sz w:val="20"/>
        </w:rPr>
        <w:t xml:space="preserve">, </w:t>
      </w:r>
      <w:r>
        <w:rPr>
          <w:sz w:val="20"/>
        </w:rPr>
        <w:t xml:space="preserve">5</w:t>
      </w:r>
      <w:r>
        <w:rPr>
          <w:sz w:val="20"/>
        </w:rPr>
        <w:t xml:space="preserve"> - </w:t>
      </w:r>
      <w:r>
        <w:rPr>
          <w:sz w:val="20"/>
        </w:rPr>
        <w:t xml:space="preserve">8 статьи 30</w:t>
      </w:r>
      <w:r>
        <w:rPr>
          <w:sz w:val="20"/>
        </w:rP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 При этом для целей настоящей части под совокупным годовым объемом закупок заказчика понимается совокупный объем цен договоров, заключенных заказчиком с 1 февраля до окончания календарного года;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4) применения требований к участникам закупок;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5) оценки заявок, окончательных предложений участников закупок;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6) создания и функционирования комиссии по осуществлению закупок;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7) определения поставщика (исполнителя, подрядчика) в соответствии с параграфами 2 и </w:t>
      </w:r>
      <w:r>
        <w:rPr>
          <w:sz w:val="20"/>
        </w:rPr>
        <w:t xml:space="preserve">3</w:t>
      </w:r>
      <w:r>
        <w:rPr>
          <w:sz w:val="20"/>
        </w:rPr>
        <w:t xml:space="preserve"> </w:t>
      </w:r>
      <w:r>
        <w:rPr>
          <w:sz w:val="20"/>
        </w:rPr>
        <w:t xml:space="preserve">главы 3</w:t>
      </w:r>
      <w:r>
        <w:rPr>
          <w:sz w:val="20"/>
        </w:rP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 При этом заказчики: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а) направляют в федеральный орган исполнительной власти, уполномоченный на осуществление контроля в сфере закупок и осуществляющий ведение реестра недобросовестных поставщиков (исполнителей, подрядчиков), сведения об участниках закупок, уклонившихся от заключения договоров, а также о поставщиках (исполнителях, подрядчиках), с которыми договоры расторгнуты по решению суда в связи с существенным нарушением ими условий договоров в соответствии с настоящим Федеральным </w:t>
      </w:r>
      <w:r>
        <w:rPr>
          <w:sz w:val="20"/>
        </w:rPr>
        <w:t xml:space="preserve">законом</w:t>
      </w:r>
      <w:r>
        <w:rPr>
          <w:sz w:val="20"/>
        </w:rPr>
        <w:t xml:space="preserve">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б) не проводят согласование применения закрытого конкурса, закрытого аукциона с федеральным органом исполнительной власти, уполномоченным Правительством Российской Федерации на осуществление такого согласования;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8) осуществления закупки у единственного поставщика (исполнителя, подрядчика) в случаях, предусмотренных </w:t>
      </w:r>
      <w:r>
        <w:rPr>
          <w:sz w:val="20"/>
        </w:rPr>
        <w:t xml:space="preserve">частью 1 статьи 93</w:t>
      </w:r>
      <w:r>
        <w:rPr>
          <w:sz w:val="20"/>
        </w:rP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 При этом заказчики: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а) не проводят согласование с контрольным органом в сфере закупок заключения контракта с единственным поставщиком (исполнителем, подрядчиком) в случае признания конкурса или аукциона несостоявшимся;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б) не направляют в контрольный орган в сфере закупок уведомление об осуществлении закупки у единственного поставщика (исполнителя, подрядчика).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15.02.2023 Заказчиком размещено извещение о проведении аукциона в электронной форме на поставку компьютерного оборудования (извещение N 0320200006123000012).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Из анализа положений </w:t>
      </w:r>
      <w:r>
        <w:rPr>
          <w:sz w:val="20"/>
        </w:rPr>
        <w:t xml:space="preserve">части 8.1 статьи 3</w:t>
      </w:r>
      <w:r>
        <w:rPr>
          <w:sz w:val="20"/>
        </w:rPr>
        <w:t xml:space="preserve"> Закона о закупках следует, что при проведении процедуры электронного аукциона Заказчику необходимо руководствоваться порядком определенным </w:t>
      </w:r>
      <w:r>
        <w:rPr>
          <w:sz w:val="20"/>
        </w:rPr>
        <w:t xml:space="preserve">параграфом 2 главы 3</w:t>
      </w:r>
      <w:r>
        <w:rPr>
          <w:sz w:val="20"/>
        </w:rPr>
        <w:t xml:space="preserve"> Закона N 44-ФЗ.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Статьей 49</w:t>
      </w:r>
      <w:r>
        <w:rPr>
          <w:sz w:val="20"/>
        </w:rPr>
        <w:t xml:space="preserve"> Закона N 44-ФЗ описан порядок проведения электронного аукциона.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этом </w:t>
      </w:r>
      <w:r>
        <w:rPr>
          <w:sz w:val="20"/>
        </w:rPr>
        <w:t xml:space="preserve">статьей 49</w:t>
      </w:r>
      <w:r>
        <w:rPr>
          <w:sz w:val="20"/>
        </w:rPr>
        <w:t xml:space="preserve"> Закона N 44-ФЗ не предусмотрена прямая обязанность Заказчика формировать объект закупки в соответствии с правилами, определенными </w:t>
      </w:r>
      <w:r>
        <w:rPr>
          <w:sz w:val="20"/>
        </w:rPr>
        <w:t xml:space="preserve">статьей 33</w:t>
      </w:r>
      <w:r>
        <w:rPr>
          <w:sz w:val="20"/>
        </w:rPr>
        <w:t xml:space="preserve"> Закона N 44-ФЗ.</w:t>
      </w:r>
    </w:p>
    <w:p>
      <w:pPr>
        <w:pStyle w:val="0"/>
        <w:spacing w:before="200" w:lineRule="auto"/>
        <w:outlineLvl w:val="1"/>
        <w:ind w:firstLine="540"/>
        <w:jc w:val="both"/>
      </w:pPr>
      <w:r>
        <w:rPr>
          <w:sz w:val="20"/>
        </w:rPr>
        <w:t xml:space="preserve">Учитывая, что рассматриваемая закупка проводится в рамках </w:t>
      </w:r>
      <w:r>
        <w:rPr>
          <w:sz w:val="20"/>
        </w:rPr>
        <w:t xml:space="preserve">Закона</w:t>
      </w:r>
      <w:r>
        <w:rPr>
          <w:sz w:val="20"/>
        </w:rPr>
        <w:t xml:space="preserve"> о закупках с учетом некоторых положений </w:t>
      </w:r>
      <w:r>
        <w:rPr>
          <w:sz w:val="20"/>
        </w:rPr>
        <w:t xml:space="preserve">Закона</w:t>
      </w:r>
      <w:r>
        <w:rPr>
          <w:sz w:val="20"/>
        </w:rPr>
        <w:t xml:space="preserve"> N 44-ФЗ и что </w:t>
      </w:r>
      <w:r>
        <w:rPr>
          <w:sz w:val="20"/>
        </w:rPr>
        <w:t xml:space="preserve">правила</w:t>
      </w:r>
      <w:r>
        <w:rPr>
          <w:sz w:val="20"/>
        </w:rPr>
        <w:t xml:space="preserve"> использования каталога товаров, работ, услуг для обеспечения государственных и муниципальных нужд, утвержденные постановлением Правительства Российской Федерации от 8 февраля 2017 г. N 145 не распространяются на закупки, проводимые в рамках </w:t>
      </w:r>
      <w:r>
        <w:rPr>
          <w:sz w:val="20"/>
        </w:rPr>
        <w:t xml:space="preserve">Закона</w:t>
      </w:r>
      <w:r>
        <w:rPr>
          <w:sz w:val="20"/>
        </w:rPr>
        <w:t xml:space="preserve"> о закупках, Комиссия Приморского УФАС России приходит к выводу о том, что Заказчик не допустил нарушений при описании объекта закупки, не применив правила использования каталога товаров, работ, услуг для обеспечения государственных и муниципальных нужд, утвержденные </w:t>
      </w:r>
      <w:r>
        <w:rPr>
          <w:sz w:val="20"/>
        </w:rPr>
        <w:t xml:space="preserve">постановлением</w:t>
      </w:r>
      <w:r>
        <w:rPr>
          <w:sz w:val="20"/>
        </w:rPr>
        <w:t xml:space="preserve"> Правительства Российской Федерации от 8 февраля 2017 г. N 145.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На основании изложенного, руководствуясь </w:t>
      </w:r>
      <w:r>
        <w:rPr>
          <w:sz w:val="20"/>
        </w:rPr>
        <w:t xml:space="preserve">частью 20 статьи 18.1</w:t>
      </w:r>
      <w:r>
        <w:rPr>
          <w:sz w:val="20"/>
        </w:rPr>
        <w:t xml:space="preserve"> Закона о защите конкуренции, Комиссия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решила: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Признать жалобу ООО "Биэм Групп Интегратор" на действия Заказчика - ГАУДПО "Приморский краевой институт развития образования" при запроса котировок в электронной форме на поставку мобильных интерактивных сенсорных экранов (извещение N 0320200006123000213) необоснованной.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Решение, принятое по результатам рассмотрения жалобы по существу, может быть обжаловано в судебном порядке в течение трех месяцев с даты его принятия.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3"/>
      <w:headerReference w:type="first" r:id="rId3"/>
      <w:footerReference w:type="default" r:id="rId4"/>
      <w:footerReference w:type="first" r:id="rId4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Решение Приморского УФАС России от 19.10.2023 по делу N 025/10/18.1-1500/2023</w:t>
            <w:br/>
            <w:t>Обстоятельства: По мнению Заявителя, докум...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17.10.2025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header" Target="header1.xml"/><Relationship Id="rId4" Type="http://schemas.openxmlformats.org/officeDocument/2006/relationships/footer" Target="footer1.xm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Приморского УФАС России от 19.10.2023 по делу N 025/10/18.1-1500/2023
Обстоятельства: По мнению Заявителя, документация составлена с нарушением требований действующего законодательства в части указания характеристик, не включенных в КТРУ.
Решение: Признать жалобу необоснованной.</dc:title>
  <dcterms:created xsi:type="dcterms:W3CDTF">2025-10-17T06:05:15Z</dcterms:created>
</cp:coreProperties>
</file>